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Stolen gold: removed serial numbers, no ownership proof, matches stolen property databases, below-market pricing, multiple similar items (organized theft), reported stolen mint products, false ID. Regulatory Basis: UAE FDL No.(10) of 2025 Art. 4; UAE Penal Code; FATF Rec. 3;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