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HSV2-TPK-2026-04-06-UNASSIGNED-RF-R08_Cross-Border_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RF-R08 | Cross-Border Recycled Gold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 indicators: no customs declarations, personal jewelry exceeding personal use, hand-carried airport gold, export-restricted origins, courier services, FTZ transit, no recycling industry in source country.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Cabinet Resolution 134/2025 Art. 17; FATF Rec. 32; UAE Customs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BRANCHSmuggling indicators: no customs declarations, personal jewelry exceeding personal use, hand-carried airport gold, export-restricted origins, courier services, FTZ transit, no recycling industry in source country.Regulatory Basis: UAE FDL No.(10) of 2025 Art. 4; Cabinet Resolution 134/2025 Art. 17; FATF Rec. 32; UAE Customs LawPriority: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