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HSV2-TPK-2026-04-06-UNASSIGNED-RF-R08_Cross-Border_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RF-R08 | Cross-Border Recycled Gold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 indicators: no customs declarations, personal jewelry exceeding personal use, hand-carried airport gold, export-restricted origins, courier services, FTZ transit, no recycling industry in source country.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Cabinet Resolution 134/2025 Art. 17; FATF Rec. 32; UAE Customs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Smuggling indicators: no customs declarations, personal jewelry exceeding personal use, hand-carried airport gold, export-restricted origins, courier services, FTZ transit, no recycling industry in source country. Regulatory Basis: UAE FDL No.(10) of 2025 Art. 4; Cabinet Resolution 134/2025 Art. 17; FATF Rec. 32; UAE Customs Law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