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HSV2-TPK-2026-04-06-UNASSIGNED-RF-R09_Recycled_Mate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RF-R09 | Recycled Material CDD Exemption Abuse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exemption abuse: systematic recycled declarations, sudden mined-to-recycled reclassification, unaccredited certificates, refusal to provide source documentation, insufficient recycling infrastructure.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 Sec.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RF-R09 | Recycled Material CDD Exemption Abuse - ENTITY: MADISON LLC CDD exemption abuse: systematic recycled declarations, sudden mined-to-recycled reclassification, unaccredited certificates, refusal to provide source documentation, insufficient recycling infrastructure. Regulatory Basis: LBMA RGG v9 Recycled Gold Annex; OECD DDG Sec. IV; FATF Guidance for DPMS (2020) Sec.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recycledGold, cddGap.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