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HSV2-TPK-2026-04-06-UNASSIGNED-RF-R09_Recycled_Mate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RF-R09 | Recycled Material CDD Exemption Abuse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exemption abuse: systematic recycled declarations, sudden mined-to-recycled reclassification, unaccredited certificates, refusal to provide source documentation, insufficient recycling infrastructure.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 Sec.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LLCCDD exemption abuse: systematic recycled declarations, sudden mined-to-recycled reclassification, unaccredited certificates, refusal to provide source documentation, insufficient recycling infrastructure.Regulatory Basis: LBMA RGG v9 Recycled Gold Annex; OECD DDG Sec. IV; FATF Guidance for DPMS (2020) Sec. 3Priority: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recycledGold, cddGap.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