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HSV2-TPK-2026-04-06-UNASSIGNED-RF-R09_Recycled_Mate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1213962484464546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RF-R09 | Recycled Material CDD Exemption Abuse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https://app.asana.com/1/1213645083721316/project/1213908828069020/task/1213962484464546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exemption abuse: systematic recycled declarations, sudden mined-to-recycled reclassification, unaccredited certificates, refusal to provide source documentation, insufficient recycling infrastructure.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OECD DDG Sec. IV; FATF Guidance for DPMS (2020) Sec.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RF-R09 | Recycled Material CDD Exemption Abuse - ENTITY: ZOE FZE CDD exemption abuse: systematic recycled declarations, sudden mined-to-recycled reclassification, unaccredited certificates, refusal to provide source documentation, insufficient recycling infrastructure. Regulatory Basis: LBMA RGG v9 Recycled Gold Annex; OECD DDG Sec. IV; FATF Guidance for DPMS (2020) Sec. 3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recycledGold, cddGap.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