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HSV2-TPK-2026-04-06-UNASSIGNED-RF-R09_Recycled_Mate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1213965323382560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RF-R09 | Recycled Material CDD Exemption Abuse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https://app.asana.com/1/1213645083721316/project/1213908611400789/task/1213965323382560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exemption abuse: systematic recycled declarations, sudden mined-to-recycled reclassification, unaccredited certificates, refusal to provide source documentation, insufficient recycling infrastructure.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OECD DDG Sec. IV; FATF Guidance for DPMS (2020) Sec.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CDD exemption abuse: systematic recycled declarations, sudden mined-to-recycled reclassification, unaccredited certificates, refusal to provide source documentation, insufficient recycling infrastructure. Regulatory Basis: LBMA RGG v9 Recycled Gold Annex; OECD DDG Sec. IV; FATF Guidance for DPMS (2020) Sec. 3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recycledGold, cddGap.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