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HSV2-TPK-2026-04-06-UNASSIGNED-RF-R10_Gold-for-Cash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RF-R10 | Gold-for-Cash Schemes via Recycled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Gold-for-cash: buy then immediate cash refund, circular buy/sell, new gold immediately sold as scrap at loss, third-party cash payments, premium above market, timed to currency restrictions.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Cabinet Resolution 134/2025 Art. 4,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RF-R10 | Gold-for-Cash Schemes via Recycled Material - ENTITY: MADISON LLC Gold-for-cash: buy then immediate cash refund, circular buy/sell, new gold immediately sold as scrap at loss, third-party cash payments, premium above market, timed to currency restrictions. Regulatory Basis: UAE FDL No.(10) of 2025 Art. 4, 15; Cabinet Resolution 134/2025 Art. 4,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