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HSV2-TPK-2026-04-06-UNASSIGNED-RF-R10_Gold-for-Cash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RF-R10 | Gold-for-Cash Schemes via Recycled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Gold-for-cash: buy then immediate cash refund, circular buy/sell, new gold immediately sold as scrap at loss, third-party cash payments, premium above market, timed to currency restrictions.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Cabinet Resolution 134/2025 Art. 4,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LLCGold-for-cash: buy then immediate cash refund, circular buy/sell, new gold immediately sold as scrap at loss, third-party cash payments, premium above market, timed to currency restrictions.Regulatory Basis: UAE FDL No.(10) of 2025 Art. 4, 15; Cabinet Resolution 134/2025 Art. 4, 17; FATF Guidance for DPMS (2020) Sec. 4.2Priority: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