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HSV2-TPK-2026-04-06-UNASSIGNED-RF-R10_Gold-for-Cash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1213962483763645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RF-R10 | Gold-for-Cash Schemes via Recycled Material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Gold-for-cash: buy then immediate cash refund, circular buy/sell, new gold immediately sold as scrap at loss, third-party cash payments, premium above market, timed to currency restrictions.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4, 15; Cabinet Resolution 134/2025 Art. 4, 17;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RF-R10 | Gold-for-Cash Schemes via Recycled Material - ENTITY: FG LLC Gold-for-cash: buy then immediate cash refund, circular buy/sell, new gold immediately sold as scrap at loss, third-party cash payments, premium above market, timed to currency restrictions. Regulatory Basis: UAE FDL No.(10) of 2025 Art. 4, 15; Cabinet Resolution 134/2025 Art. 4, 17; FATF Guidance for DPMS (2020) Sec. 4.2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