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HSV2-TPK-2026-04-06-UNASSIGNED-RF-R10_Gold-for-Cash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1213962484464545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RF-R10 | Gold-for-Cash Schemes via Recycled Material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Gold-for-cash: buy then immediate cash refund, circular buy/sell, new gold immediately sold as scrap at loss, third-party cash payments, premium above market, timed to currency restrictions.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4, 15; Cabinet Resolution 134/2025 Art. 4, 17;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RF-R10 | Gold-for-Cash Schemes via Recycled Material - ENTITY: ZOE FZE Gold-for-cash: buy then immediate cash refund, circular buy/sell, new gold immediately sold as scrap at loss, third-party cash payments, premium above market, timed to currency restrictions. Regulatory Basis: UAE FDL No.(10) of 2025 Art. 4, 15; Cabinet Resolution 134/2025 Art. 4, 17; FATF Guidance for DPMS (2020) Sec. 4.2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