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HSV2-TPK-2026-04-06-UNASSIGNED-RF-R10_Gold-for-Cash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RF-R10 | Gold-for-Cash Schemes via Recycled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Gold-for-cash: buy then immediate cash refund, circular buy/sell, new gold immediately sold as scrap at loss, third-party cash payments, premium above market, timed to currency restrictions.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Cabinet Resolution 134/2025 Art. 4,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Gold-for-cash: buy then immediate cash refund, circular buy/sell, new gold immediately sold as scrap at loss, third-party cash payments, premium above market, timed to currency restrictions. Regulatory Basis: UAE FDL No.(10) of 2025 Art. 4, 15; Cabinet Resolution 134/2025 Art. 4, 17; FATF Guidance for DPMS (2020) Sec. 4.2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