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Sanctions via recycled: sanctioned refinery hallmarks, Russian LBMA-delisted refinery hallmarks, intermediaries for sanctioned persons, sanctioned entity industrial/jewelry sources, sanctioned central bank bars. Regulatory Basis: Cabinet Resolution 74/2020; UAE FDL No.(10) of 2025 Art. 22; OFAC/EU/UN sanctions; LBMA Russian-origin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