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HSV2-TPK-2026-04-06-UNASSIGNED-RF-R13_Mixed_Mined_R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1213959825119975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RF-R13 | Mixed Mined/Recycled Without Segregation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Commingling: blending without separate documentation, unknown mined/recycled percentage, diluting high-risk mined with recycled, refinery batch mixing, material characteristics contradicting declaration, no physical segregation.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RF-R13 | Mixed Mined/Recycled Without Segregation - ENTITY: MADISON LLC Commingling: blending without separate documentation, unknown mined/recycled percentage, diluting high-risk mined with recycled, refinery batch mixing, material characteristics contradicting declaration, no physical segregation. Regulatory Basis: LBMA RGG v9 Step 3; OECD DDG Supplement on Gold; FATF Guidance for DPMS (2020) Sec. 3.2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