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1213959825119974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HSV2-TPK-2026-04-06-UNASSIGNED-RF-R14_Recycled_Gold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1213959825119974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RF-R14 | Recycled Gold from Conflict/Looted Sources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1213959825119974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https://app.asana.com/1/1213645083721316/project/1213908611350810/task/1213959825119974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Conflict-looted recycled: cultural artifacts as scrap, conflict-looted gold reserves, central bank bars from conflict states, historical items from cultural property areas, museum/bank looting.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2 Annex II; OECD DDG; UNESCO Convention (1970); UAE FDL No.(10) of 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RF-R14 | Recycled Gold from Conflict/Looted Sources - ENTITY: MADISON LLC Conflict-looted recycled: cultural artifacts as scrap, conflict-looted gold reserves, central bank bars from conflict states, historical items from cultural property areas, museum/bank looting. Regulatory Basis: LBMA RGG v9 Step 2 Annex II; OECD DDG; UNESCO Convention (1970); UAE FDL No.(10) of 2025 Art. 4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