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HSV2-TPK-2026-04-06-UNASSIGNED-RF-R14_Recycled_Gold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RF-R14 | Recycled Gold from Conflict/Looted Sources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Conflict-looted recycled: cultural artifacts as scrap, conflict-looted gold reserves, central bank bars from conflict states, historical items from cultural property areas, museum/bank looting.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 Annex II; OECD DDG; UNESCO Convention (1970);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RF-R14 | Recycled Gold from Conflict/Looted Sources - ENTITY: FG LLC Conflict-looted recycled: cultural artifacts as scrap, conflict-looted gold reserves, central bank bars from conflict states, historical items from cultural property areas, museum/bank looting. Regulatory Basis: LBMA RGG v9 Step 2 Annex II; OECD DDG; UNESCO Convention (1970); UAE FDL No.(10) of 2025 Art. 4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