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HSV2-TPK-2026-04-06-UNASSIGNED-RF-R14_Recycled_Gold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RF-R14 | Recycled Gold from Conflict/Looted Sources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Conflict-looted recycled: cultural artifacts as scrap, conflict-looted gold reserves, central bank bars from conflict states, historical items from cultural property areas, museum/bank looting.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UNESCO Convention (1970);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Conflict-looted recycled: cultural artifacts as scrap, conflict-looted gold reserves, central bank bars from conflict states, historical items from cultural property areas, museum/bank looting. Regulatory Basis: LBMA RGG v9 Step 2 Annex II; OECD DDG; UNESCO Convention (1970); UAE FDL No.(10) of 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