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HSV2-TPK-2026-04-06-UNASSIGNED-RF-R15_Recycling_Fac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1213959825119973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RF-R15 | Recycling Facility Due Diligence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1213959825119973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https://app.asana.com/1/1213645083721316/project/1213908611350810/task/1213959825119973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Facility DD gaps: no permits, unregulated jurisdiction, enforcement history, no customer ID, no AML programme, opaque ownership, inconsistent processing volumes.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UAE FDL No.(10) of 2025 Art. 16; FATF Guidance for DPMS (2020);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RF-R15 | Recycling Facility Due Diligence Gaps - ENTITY: MADISON LLC Facility DD gaps: no permits, unregulated jurisdiction, enforcement history, no customer ID, no AML programme, opaque ownership, inconsistent processing volumes. Regulatory Basis: LBMA RGG v9 Recycled Gold Annex; UAE FDL No.(10) of 2025 Art. 16; FATF Guidance for DPMS (2020);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