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HSV2-TPK-2026-04-06-UNASSIGNED-RF-R15_Recycling_Fac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RF-R15 | Recycling Facility Due Diligence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Facility DD gaps: no permits, unregulated jurisdiction, enforcement history, no customer ID, no AML programme, opaque ownership, inconsistent processing volumes.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UAE FDL No.(10) of 2025 Art. 16; FATF Guidance for DPMS (2020);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LLCFacility DD gaps: no permits, unregulated jurisdiction, enforcement history, no customer ID, no AML programme, opaque ownership, inconsistent processing volumes.Regulatory Basis: LBMA RGG v9 Recycled Gold Annex; UAE FDL No.(10) of 2025 Art. 16; FATF Guidance for DPMS (2020); Cabinet Resolution 134/2025 Art. 58Priority: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