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1213962483763640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HSV2-TPK-2026-04-06-UNASSIGNED-RF-R15_Recycling_Fac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1213962483763640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RF-R15 | Recycling Facility Due Diligence Gaps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1213962483763640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https://app.asana.com/1/1213645083721316/project/1213909833048586/task/1213962483763640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RECYCLED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Facility DD gaps: no permits, unregulated jurisdiction, enforcement history, no customer ID, no AML programme, opaque ownership, inconsistent processing volumes.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Recycled Gold Annex; UAE FDL No.(10) of 2025 Art. 16; FATF Guidance for DPMS (2020); Cabinet Resolution 134/2025 Art. 58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RF-R15 | Recycling Facility Due Diligence Gaps - ENTITY: FG LLC Facility DD gaps: no permits, unregulated jurisdiction, enforcement history, no customer ID, no AML programme, opaque ownership, inconsistent processing volumes. Regulatory Basis: LBMA RGG v9 Recycled Gold Annex; UAE FDL No.(10) of 2025 Art. 16; FATF Guidance for DPMS (2020); Cabinet Resolution 134/2025 Art. 58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