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HSV2-TPK-2026-04-06-UNASSIGNED-RF-R15_Recycling_Fac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RF-R15 | Recycling Facility Due Diligence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Facility DD gaps: no permits, unregulated jurisdiction, enforcement history, no customer ID, no AML programme, opaque ownership, inconsistent processing volumes.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UAE FDL No.(10) of 2025 Art. 16; FATF Guidance for DPMS (2020);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RF-R15 | Recycling Facility Due Diligence Gaps - ENTITY: ZOE FZE Facility DD gaps: no permits, unregulated jurisdiction, enforcement history, no customer ID, no AML programme, opaque ownership, inconsistent processing volumes. Regulatory Basis: LBMA RGG v9 Recycled Gold Annex; UAE FDL No.(10) of 2025 Art. 16; FATF Guidance for DPMS (2020);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