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1213964638768804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HSV2-TPK-2026-04-06-UNASSIGNED-RF-R15_Recycling_Fac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1213964638768804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RF-R15 | Recycling Facility Due Diligence Gaps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1213964638768804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https://app.asana.com/1/1213645083721316/project/1213908508433868/task/1213964638768804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Facility DD gaps: no permits, unregulated jurisdiction, enforcement history, no customer ID, no AML programme, opaque ownership, inconsistent processing volumes.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Recycled Gold Annex; UAE FDL No.(10) of 2025 Art. 16; FATF Guidance for DPMS (2020); Cabinet Resolution 134/2025 Art. 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BRANCHFacility DD gaps: no permits, unregulated jurisdiction, enforcement history, no customer ID, no AML programme, opaque ownership, inconsistent processing volumes.Regulatory Basis: LBMA RGG v9 Recycled Gold Annex; UAE FDL No.(10) of 2025 Art. 16; FATF Guidance for DPMS (2020); Cabinet Resolution 134/2025 Art. 58Priority: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