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HSV2-TPK-2026-04-06-UNASSIGNED-RF-R15_Recycling_Fac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RF-R15 | Recycling Facility Due Diligence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Facility DD gaps: no permits, unregulated jurisdiction, enforcement history, no customer ID, no AML programme, opaque ownership, inconsistent processing volumes.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UAE FDL No.(10) of 2025 Art. 16; FATF Guidance for DPMS (2020);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Facility DD gaps: no permits, unregulated jurisdiction, enforcement history, no customer ID, no AML programme, opaque ownership, inconsistent processing volumes. Regulatory Basis: LBMA RGG v9 Recycled Gold Annex; UAE FDL No.(10) of 2025 Art. 16; FATF Guidance for DPMS (2020);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