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HSV2-TPK-2026-04-06-UNASSIGNED-RF-R16_Old_Gold_and_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1213959825119972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RF-R16 | Old Gold and Inherited Gold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https://app.asana.com/1/1213645083721316/project/1213908611350810/task/1213959825119972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Inherited gold flags: no probate/succession documentation, volume disproportionate to wealth, dore bars claimed as heirloom, multiple unrelated individuals, recent refining marks, recent production hallmarks.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RF-R16 | Old Gold and Inherited Gold Verification - ENTITY: MADISON LLC Inherited gold flags: no probate/succession documentation, volume disproportionate to wealth, dore bars claimed as heirloom, multiple unrelated individuals, recent refining marks, recent production hallmarks. Regulatory Basis: UAE FDL No.(10) of 2025 Art. 16; Cabinet Resolution 134/2025 Art. 9; FATF Guidance for DPMS (2020) Sec. 4.2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