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HSV2-TPK-2026-04-06-UNASSIGNED-RF-R16_Old_Gold_and_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1213959825297480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RF-R16 | Old Gold and Inherited Gold Verification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https://app.asana.com/1/1213645083721316/project/1213908827982041/task/1213959825297480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Inherited gold flags: no probate/succession documentation, volume disproportionate to wealth, dore bars claimed as heirloom, multiple unrelated individuals, recent refining marks, recent production hallmarks.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9; FATF Guidance for DPMS (2020) Sec. 4.2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LLCInherited gold flags: no probate/succession documentation, volume disproportionate to wealth, dore bars claimed as heirloom, multiple unrelated individuals, recent refining marks, recent production hallmarks.Regulatory Basis: UAE FDL No.(10) of 2025 Art. 16; Cabinet Resolution 134/2025 Art. 9; FATF Guidance for DPMS (2020) Sec. 4.2Priority: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