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HSV2-TPK-2026-04-06-UNASSIGNED-RF-R16_Old_Gold_and_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1213964638768803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RF-R16 | Old Gold and Inherited Gold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https://app.asana.com/1/1213645083721316/project/1213908508433868/task/1213964638768803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Inherited gold flags: no probate/succession documentation, volume disproportionate to wealth, dore bars claimed as heirloom, multiple unrelated individuals, recent refining marks, recent production hallmarks.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BRANCHInherited gold flags: no probate/succession documentation, volume disproportionate to wealth, dore bars claimed as heirloom, multiple unrelated individuals, recent refining marks, recent production hallmarks.Regulatory Basis: UAE FDL No.(10) of 2025 Art. 16; Cabinet Resolution 134/2025 Art. 9; FATF Guidance for DPMS (2020) Sec. 4.2Priority: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