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Inherited gold flags: no probate/succession documentation, volume disproportionate to wealth, dore bars claimed as heirloom, multiple unrelated individuals, recent refining marks, recent production hallmarks. Regulatory Basis: UAE FDL No.(10) of 2025 Art. 16; Cabinet Resolution 134/2025 Art. 9; FATF Guidance for DPMS (2020) Sec. 4.2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