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RF-R17 | Recycled Gold as Hawala Alternative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Value transfer: buy in one jurisdiction/sell in another by different party, matching buy/sell patterns, cross-border network, gold souk movements without rationale, hawala-style settlement patterns.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FATF Guidance for DPMS (2020); FATF Rec. 14;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RF-R17 | Recycled Gold as Hawala Alternative - ENTITY: MADISON LLC Value transfer: buy in one jurisdiction/sell in another by different party, matching buy/sell patterns, cross-border network, gold souk movements without rationale, hawala-style settlement patterns. Regulatory Basis: UAE FDL No.(10) of 2025 Art. 4, 15; FATF Guidance for DPMS (2020); FATF Rec. 14;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