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1213959825297479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HSV2-TPK-2026-04-06-UNASSIGNED-RF-R17_Recycled_Gold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1213959825297479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RF-R17 | Recycled Gold as Hawala Alternative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1213959825297479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https://app.asana.com/1/1213645083721316/project/1213908827982041/task/1213959825297479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Value transfer: buy in one jurisdiction/sell in another by different party, matching buy/sell patterns, cross-border network, gold souk movements without rationale, hawala-style settlement patterns.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4, 15; FATF Guidance for DPMS (2020); FATF Rec. 14; Cabinet Resolution 134/2025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LLCValue transfer: buy in one jurisdiction/sell in another by different party, matching buy/sell patterns, cross-border network, gold souk movements without rationale, hawala-style settlement patterns.Regulatory Basis: UAE FDL No.(10) of 2025 Art. 4, 15; FATF Guidance for DPMS (2020); FATF Rec. 14; Cabinet Resolution 134/2025 Art. 4Priority: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