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HSV2-TPK-2026-04-06-UNASSIGNED-RF-R17_Recycled_Gold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1213962483763638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RF-R17 | Recycled Gold as Hawala Alternative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Value transfer: buy in one jurisdiction/sell in another by different party, matching buy/sell patterns, cross-border network, gold souk movements without rationale, hawala-style settlement patterns.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4, 15; FATF Guidance for DPMS (2020); FATF Rec. 14;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RF-R17 | Recycled Gold as Hawala Alternative - ENTITY: FG LLC Value transfer: buy in one jurisdiction/sell in another by different party, matching buy/sell patterns, cross-border network, gold souk movements without rationale, hawala-style settlement patterns. Regulatory Basis: UAE FDL No.(10) of 2025 Art. 4, 15; FATF Guidance for DPMS (2020); FATF Rec. 14; Cabinet Resolution 134/2025 Art. 4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