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RF-R17 | Recycled Gold as Hawala Alternative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Value transfer: buy in one jurisdiction/sell in another by different party, matching buy/sell patterns, cross-border network, gold souk movements without rationale, hawala-style settlement patterns.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FATF Guidance for DPMS (2020); FATF Rec. 14;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RF-R17 | Recycled Gold as Hawala Alternative - ENTITY: ZOE FZE Value transfer: buy in one jurisdiction/sell in another by different party, matching buy/sell patterns, cross-border network, gold souk movements without rationale, hawala-style settlement patterns. Regulatory Basis: UAE FDL No.(10) of 2025 Art. 4, 15; FATF Guidance for DPMS (2020); FATF Rec. 14; Cabinet Resolution 134/2025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