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RF-R17 | Recycled Gold as Hawala Alternative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Value transfer: buy in one jurisdiction/sell in another by different party, matching buy/sell patterns, cross-border network, gold souk movements without rationale, hawala-style settlement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FATF Guidance for DPMS (2020); FATF Rec. 14;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BRANCHValue transfer: buy in one jurisdiction/sell in another by different party, matching buy/sell patterns, cross-border network, gold souk movements without rationale, hawala-style settlement patterns.Regulatory Basis: UAE FDL No.(10) of 2025 Art. 4, 15; FATF Guidance for DPMS (2020); FATF Rec. 14; Cabinet Resolution 134/2025 Art. 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