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RF-R17 | Recycled Gold as Hawala Alternative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Value transfer: buy in one jurisdiction/sell in another by different party, matching buy/sell patterns, cross-border network, gold souk movements without rationale, hawala-style settlement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FATF Guidance for DPMS (2020); FATF Rec. 14;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Value transfer: buy in one jurisdiction/sell in another by different party, matching buy/sell patterns, cross-border network, gold souk movements without rationale, hawala-style settlement patterns. Regulatory Basis: UAE FDL No.(10) of 2025 Art. 4, 15; FATF Guidance for DPMS (2020); FATF Rec. 14;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