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HSV2-TPK-2026-04-06-UNASSIGNED-RF-R18_Dental_and_Me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1213959825297478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RF-R18 | Dental and Medical Gold Recycling Anomalies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https://app.asana.com/1/1213645083721316/project/1213908827982041/task/1213959825297478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Dental/medical: volumes disproportionate to dental industry, no dental practice documentation, no licensed medical waste handler, high purity inconsistent with dental alloys, uncommon dental gold origin countries.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FATF Guidance for DPMS (2020) Sec. 3;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Low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LLCDental/medical: volumes disproportionate to dental industry, no dental practice documentation, no licensed medical waste handler, high purity inconsistent with dental alloys, uncommon dental gold origin countries.Regulatory Basis: LBMA RGG v9 Recycled Gold Annex; FATF Guidance for DPMS (2020) Sec. 3; UAE FDL No.(10) of 2025 Art. 16Priority: Low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