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HSV2-TPK-2026-04-06-UNASSIGNED-RF-R18_Dental_and_Me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1213965323382551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RF-R18 | Dental and Medical Gold Recycling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https://app.asana.com/1/1213645083721316/project/1213908611400789/task/1213965323382551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Dental/medical: volumes disproportionate to dental industry, no dental practice documentation, no licensed medical waste handler, high purity inconsistent with dental alloys, uncommon dental gold origin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FATF Guidance for DPMS (2020) Sec. 3;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Dental/medical: volumes disproportionate to dental industry, no dental practice documentation, no licensed medical waste handler, high purity inconsistent with dental alloys, uncommon dental gold origin countries. Regulatory Basis: LBMA RGG v9 Recycled Gold Annex; FATF Guidance for DPMS (2020) Sec. 3; UAE FDL No.(10) of 2025 Art. 16 Priority: Low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