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RF-R19 | Recycled Gold Documentation Gaps - ENTITY: MADISON LLC Documentation gaps: no seller identity records, missing weight/purity at acquisition, no pre-melt photos/descriptions, no receipts/invoices, no source segregation, records destroyed before 5 years. Regulatory Basis: UAE FDL No.(10) of 2025 Art. 19; Cabinet Resolution 134/2025 Art. 53-54; FATF Rec. 11;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