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HSV2-TPK-2026-04-06-UNASSIGNED-RF-R19_Recycled_Gold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1213959825297477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RF-R19 | Recycled Gold Documentation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https://app.asana.com/1/1213645083721316/project/1213908827982041/task/1213959825297477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Documentation gaps: no seller identity records, missing weight/purity at acquisition, no pre-melt photos/descriptions, no receipts/invoices, no source segregation, records destroyed before 5 years.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LLCDocumentation gaps: no seller identity records, missing weight/purity at acquisition, no pre-melt photos/descriptions, no receipts/invoices, no source segregation, records destroyed before 5 years.Regulatory Basis: UAE FDL No.(10) of 2025 Art. 19; Cabinet Resolution 134/2025 Art. 53-54; FATF Rec. 11; LBMA RGG v9 Step 3Priority: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