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HSV2-TPK-2026-04-06-UNASSIGNED-RF-R19_Recycled_Gold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1213962483763636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RF-R19 | Recycled Gold Documentation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1213962483763636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https://app.asana.com/1/1213645083721316/project/1213909833048586/task/1213962483763636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Documentation gaps: no seller identity records, missing weight/purity at acquisition, no pre-melt photos/descriptions, no receipts/invoices, no source segregation, records destroyed before 5 years.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19; Cabinet Resolution 134/2025 Art. 53-54; FATF Rec. 11; LBMA RGG v9 Step 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RF-R19 | Recycled Gold Documentation Gaps - ENTITY: FG LLC Documentation gaps: no seller identity records, missing weight/purity at acquisition, no pre-melt photos/descriptions, no receipts/invoices, no source segregation, records destroyed before 5 years. Regulatory Basis: UAE FDL No.(10) of 2025 Art. 19; Cabinet Resolution 134/2025 Art. 53-54; FATF Rec. 11; LBMA RGG v9 Step 3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