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HSV2-TPK-2026-04-06-UNASSIGNED-RF-R19_Recycled_Gold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RF-R19 | Recycled Gold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gaps: no seller identity records, missing weight/purity at acquisition, no pre-melt photos/descriptions, no receipts/invoices, no source segregation, records destroyed before 5 years.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RF-R19 | Recycled Gold Documentation Gaps - ENTITY: ZOE FZE Documentation gaps: no seller identity records, missing weight/purity at acquisition, no pre-melt photos/descriptions, no receipts/invoices, no source segregation, records destroyed before 5 years. Regulatory Basis: UAE FDL No.(10) of 2025 Art. 19; Cabinet Resolution 134/2025 Art. 53-54; FATF Rec. 11;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