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1213964638768800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HSV2-TPK-2026-04-06-UNASSIGNED-RF-R19_Recycled_Gold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1213964638768800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RF-R19 | Recycled Gold Documentation Gaps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1213964638768800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https://app.asana.com/1/1213645083721316/project/1213908508433868/task/1213964638768800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Documentation gaps: no seller identity records, missing weight/purity at acquisition, no pre-melt photos/descriptions, no receipts/invoices, no source segregation, records destroyed before 5 years.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19; Cabinet Resolution 134/2025 Art. 53-54; FATF Rec. 11; LBMA RGG v9 Step 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BRANCHDocumentation gaps: no seller identity records, missing weight/purity at acquisition, no pre-melt photos/descriptions, no receipts/invoices, no source segregation, records destroyed before 5 years.Regulatory Basis: UAE FDL No.(10) of 2025 Art. 19; Cabinet Resolution 134/2025 Art. 53-54; FATF Rec. 11; LBMA RGG v9 Step 3Priority: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