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HSV2-TPK-2026-04-06-UNASSIGNED-RF-R19_Recycled_Gold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RF-R19 | Recycled Gold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gaps: no seller identity records, missing weight/purity at acquisition, no pre-melt photos/descriptions, no receipts/invoices, no source segregation, records destroyed before 5 years.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Documentation gaps: no seller identity records, missing weight/purity at acquisition, no pre-melt photos/descriptions, no receipts/invoices, no source segregation, records destroyed before 5 years. Regulatory Basis: UAE FDL No.(10) of 2025 Art. 19; Cabinet Resolution 134/2025 Art. 53-54; FATF Rec. 11;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