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HSV2-TPK-2026-04-06-UNASSIGNED-RF-R20_Annual_Mined_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RF-R20 | Annual Mined/Recycled Red Flags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material red flags: new FATF typologies, LBMA updates, OECD revisions, FIU feedback, MOE findings, industry cases, emerging risks. MLRO sign-off, board summary.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LBMA RGG v9 Step 1; FATF Rec. 1;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RF-R20 | Annual Mined/Recycled Red Flags Review - ENTITY: MADISON LLC Annual review of all material red flags: new FATF typologies, LBMA updates, OECD revisions, FIU feedback, MOE findings, industry cases, emerging risks. MLRO sign-off, board summary. Regulatory Basis: UAE FDL No.(10) of 2025 Art. 20; Cabinet Resolution 134/2025 Art. 58; LBMA RGG v9 Step 1; FATF Rec. 1; OECD DDG Step 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