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HSV2-TPK-2026-04-06-UNASSIGNED-RF-R20_Annual_Mined_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1213959825297476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RF-R20 | Annual Mined/Recycled Red Flags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of all material red flags: new FATF typologies, LBMA updates, OECD revisions, FIU feedback, MOE findings, industry cases, emerging risks. MLRO sign-off, board summary.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LBMA RGG v9 Step 1; FATF Rec. 1; OECD DDG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LLCAnnual review of all material red flags: new FATF typologies, LBMA updates, OECD revisions, FIU feedback, MOE findings, industry cases, emerging risks. MLRO sign-off, board summary.Regulatory Basis: UAE FDL No.(10) of 2025 Art. 20; Cabinet Resolution 134/2025 Art. 58; LBMA RGG v9 Step 1; FATF Rec. 1; OECD DDG Step 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