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RF-R20 | Annual Mined/Recycled Red Flags Review - ENTITY: FG LLC Annual review of all material red flags: new FATF typologies, LBMA updates, OECD revisions, FIU feedback, MOE findings, industry cases, emerging risks. MLRO sign-off, board summary. Regulatory Basis: UAE FDL No.(10) of 2025 Art. 20; Cabinet Resolution 134/2025 Art. 58; LBMA RGG v9 Step 1; FATF Rec. 1; OECD DDG Step 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