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HSV2-TPK-2026-04-06-UNASSIGNED-RF-R20_Annual_Mined_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RF-R20 | Annual Mined/Recycled Red Flags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material red flags: new FATF typologies, LBMA updates, OECD revisions, FIU feedback, MOE findings, industry cases, emerging risks. MLRO sign-off, board summary.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LBMA RGG v9 Step 1; FATF Rec. 1;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RF-R20 | Annual Mined/Recycled Red Flags Review - ENTITY: ZOE FZE Annual review of all material red flags: new FATF typologies, LBMA updates, OECD revisions, FIU feedback, MOE findings, industry cases, emerging risks. MLRO sign-off, board summary. Regulatory Basis: UAE FDL No.(10) of 2025 Art. 20; Cabinet Resolution 134/2025 Art. 58; LBMA RGG v9 Step 1; FATF Rec. 1; OECD DDG Step 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