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HSV2-TPK-2026-04-06-UNASSIGNED-RF-R20_Annual_Mined_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1213964638768799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RF-R20 | Annual Mined/Recycled Red Flags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https://app.asana.com/1/1213645083721316/project/1213908508433868/task/1213964638768799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of all material red flags: new FATF typologies, LBMA updates, OECD revisions, FIU feedback, MOE findings, industry cases, emerging risks. MLRO sign-off, board summary.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LBMA RGG v9 Step 1; FATF Rec. 1; OECD DDG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BRANCHAnnual review of all material red flags: new FATF typologies, LBMA updates, OECD revisions, FIU feedback, MOE findings, industry cases, emerging risks. MLRO sign-off, board summary.Regulatory Basis: UAE FDL No.(10) of 2025 Art. 20; Cabinet Resolution 134/2025 Art. 58; LBMA RGG v9 Step 1; FATF Rec. 1; OECD DDG Step 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