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HSV2-TPK-2026-04-06-UNASSIGNED-RF-R20_Annual_Mined_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RF-R20 | Annual Mined/Recycled Red Flags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material red flags: new FATF typologies, LBMA updates, OECD revisions, FIU feedback, MOE findings, industry cases, emerging risks. MLRO sign-off, board summary.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LBMA RGG v9 Step 1; FATF Rec. 1;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Annual review of all material red flags: new FATF typologies, LBMA updates, OECD revisions, FIU feedback, MOE findings, industry cases, emerging risks. MLRO sign-off, board summary. Regulatory Basis: UAE FDL No.(10) of 2025 Art. 20; Cabinet Resolution 134/2025 Art. 58; LBMA RGG v9 Step 1; FATF Rec. 1; OECD DDG Step 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