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1213954968560423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HSV2-TPK-2026-04-06-UNASSIGNED-RK-01_Record_Retenti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1213954968560423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RK-01 | Record Retention Policy (5-Year Minimum)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1213954968560423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https://app.asana.com/1/1213645083721316/project/1213908508433868/task/1213954968560423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5-year retention: CDD records, transaction records, correspondence, STR copies, training records, risk assessments. Define storage, access controls, destruction procedures.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19; Cabinet Resolution 134/2025 Art. 53-54; FATF Rec. 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5-year retention: CDD records, transaction records, correspondence, STR copies, training records, risk assessments. Define storage, access controls, destruction procedures. Regulatory Basis: UAE FDL No.(10) of 2025 Art. 19; Cabinet Resolution 134/2025 Art. 53-54; FATF Rec. 11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