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HSV2-TPK-2026-04-06-UNASSIGNED-RK-01_Record_Retenti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1213959825122821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RK-01 | Record Retention Policy (5-Year Minimum)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https://app.asana.com/1/1213645083721316/project/1213908611350810/task/1213959825122821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5-year retention: CDD records, transaction records, correspondence, STR copies, training records, risk assessments. Define storage, access controls, destruction procedures.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19; Cabinet Resolution 134/2025 Art. 53-54;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RECORD KEEPING AND DATA PROTECTION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RK-01 | Record Retention Policy (5-Year Minimum) - ENTITY: MADISON LLC 5-year retention: CDD records, transaction records, correspondence, STR copies, training records, risk assessments. Define storage, access controls, destruction procedures. Regulatory Basis: UAE FDL No.(10) of 2025 Art. 19; Cabinet Resolution 134/2025 Art. 53-54; FATF Rec. 11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