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HSV2-TPK-2026-04-06-UNASSIGNED-RK-01_Record_Retenti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RK-01 | Record Retention Policy (5-Year Minimum)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5-year retention: CDD records, transaction records, correspondence, STR copies, training records, risk assessments. Define storage, access controls, destruction procedures.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RK-01 | Record Retention Policy (5-Year Minimum) - ENTITY: ZOE FZE 5-year retention: CDD records, transaction records, correspondence, STR copies, training records, risk assessments. Define storage, access controls, destruction procedures. Regulatory Basis: UAE FDL No.(10) of 2025 Art. 19;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